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6C7" w:rsidRDefault="007C06C7" w:rsidP="007C06C7">
      <w:pPr>
        <w:pStyle w:val="AralkYok"/>
        <w:jc w:val="center"/>
      </w:pPr>
    </w:p>
    <w:p w:rsidR="00007564" w:rsidRDefault="00007564" w:rsidP="007C06C7">
      <w:pPr>
        <w:pStyle w:val="AralkYok"/>
        <w:jc w:val="center"/>
      </w:pPr>
    </w:p>
    <w:p w:rsidR="00007564" w:rsidRPr="00AA576B" w:rsidRDefault="00795D2C" w:rsidP="00007564">
      <w:pPr>
        <w:pStyle w:val="AralkYok"/>
        <w:jc w:val="center"/>
        <w:rPr>
          <w:b/>
        </w:rPr>
      </w:pPr>
      <w:hyperlink r:id="rId6" w:history="1">
        <w:r w:rsidRPr="007D5CDF">
          <w:rPr>
            <w:rStyle w:val="Kpr"/>
            <w:b/>
          </w:rPr>
          <w:t>2. SINIF MATEMATİK DERSİ DERS PLANI</w:t>
        </w:r>
      </w:hyperlink>
    </w:p>
    <w:p w:rsidR="00007564" w:rsidRPr="00FF1DD2" w:rsidRDefault="00795D2C" w:rsidP="00007564">
      <w:pPr>
        <w:pStyle w:val="AralkYok"/>
        <w:jc w:val="center"/>
        <w:rPr>
          <w:b/>
          <w:color w:val="FF0000"/>
        </w:rPr>
      </w:pPr>
      <w:r>
        <w:rPr>
          <w:b/>
          <w:color w:val="FF0000"/>
        </w:rPr>
        <w:t>30</w:t>
      </w:r>
      <w:r w:rsidRPr="00FF1DD2">
        <w:rPr>
          <w:b/>
          <w:color w:val="FF0000"/>
        </w:rPr>
        <w:t xml:space="preserve">.Hafta </w:t>
      </w:r>
    </w:p>
    <w:p w:rsidR="00007564" w:rsidRPr="00AA576B" w:rsidRDefault="00795D2C" w:rsidP="00007564">
      <w:pPr>
        <w:pStyle w:val="AralkYok"/>
        <w:jc w:val="center"/>
        <w:rPr>
          <w:b/>
        </w:rPr>
      </w:pPr>
      <w:r>
        <w:rPr>
          <w:b/>
        </w:rPr>
        <w:t>(27-31 NİSAN 202</w:t>
      </w:r>
      <w:r w:rsidR="00A14ED1">
        <w:rPr>
          <w:b/>
        </w:rPr>
        <w:t>6</w:t>
      </w:r>
      <w:r>
        <w:rPr>
          <w:b/>
        </w:rPr>
        <w:t>)</w:t>
      </w:r>
    </w:p>
    <w:p w:rsidR="00007564" w:rsidRDefault="00007564" w:rsidP="00007564">
      <w:pPr>
        <w:pStyle w:val="AralkYok"/>
        <w:jc w:val="center"/>
      </w:pPr>
    </w:p>
    <w:tbl>
      <w:tblPr>
        <w:tblStyle w:val="TabloKlavuzu"/>
        <w:tblW w:w="0" w:type="auto"/>
        <w:jc w:val="center"/>
        <w:tblLook w:val="04A0" w:firstRow="1" w:lastRow="0" w:firstColumn="1" w:lastColumn="0" w:noHBand="0" w:noVBand="1"/>
      </w:tblPr>
      <w:tblGrid>
        <w:gridCol w:w="2547"/>
        <w:gridCol w:w="8363"/>
      </w:tblGrid>
      <w:tr w:rsidR="00CD1A4F" w:rsidTr="00B70CA3">
        <w:trPr>
          <w:jc w:val="center"/>
        </w:trPr>
        <w:tc>
          <w:tcPr>
            <w:tcW w:w="2547" w:type="dxa"/>
            <w:vAlign w:val="center"/>
          </w:tcPr>
          <w:p w:rsidR="00007564" w:rsidRPr="00DC78B3" w:rsidRDefault="00795D2C" w:rsidP="0000645E">
            <w:pPr>
              <w:pStyle w:val="AralkYok"/>
              <w:rPr>
                <w:sz w:val="19"/>
                <w:szCs w:val="19"/>
              </w:rPr>
            </w:pPr>
            <w:r w:rsidRPr="00DC78B3">
              <w:rPr>
                <w:rFonts w:ascii="Tahoma" w:hAnsi="Tahoma" w:cs="Tahoma"/>
                <w:b/>
                <w:sz w:val="19"/>
                <w:szCs w:val="19"/>
                <w14:ligatures w14:val="standardContextual"/>
              </w:rPr>
              <w:t>DERS SAATİ</w:t>
            </w:r>
          </w:p>
        </w:tc>
        <w:tc>
          <w:tcPr>
            <w:tcW w:w="8363" w:type="dxa"/>
            <w:vAlign w:val="center"/>
          </w:tcPr>
          <w:p w:rsidR="00007564" w:rsidRPr="00DC78B3" w:rsidRDefault="00795D2C" w:rsidP="0000645E">
            <w:pPr>
              <w:pStyle w:val="AralkYok"/>
              <w:rPr>
                <w:sz w:val="19"/>
                <w:szCs w:val="19"/>
              </w:rPr>
            </w:pPr>
            <w:r w:rsidRPr="00DC78B3">
              <w:rPr>
                <w:rFonts w:ascii="Tahoma" w:hAnsi="Tahoma" w:cs="Tahoma"/>
                <w:sz w:val="19"/>
                <w:szCs w:val="19"/>
                <w14:ligatures w14:val="standardContextual"/>
              </w:rPr>
              <w:t xml:space="preserve"> 4  Ders saati</w:t>
            </w:r>
          </w:p>
        </w:tc>
      </w:tr>
      <w:tr w:rsidR="00CD1A4F" w:rsidTr="00B70CA3">
        <w:trPr>
          <w:jc w:val="center"/>
        </w:trPr>
        <w:tc>
          <w:tcPr>
            <w:tcW w:w="2547" w:type="dxa"/>
            <w:vAlign w:val="center"/>
          </w:tcPr>
          <w:p w:rsidR="00007564" w:rsidRPr="00DC78B3" w:rsidRDefault="00795D2C" w:rsidP="0000645E">
            <w:pPr>
              <w:pStyle w:val="AralkYok"/>
              <w:rPr>
                <w:sz w:val="19"/>
                <w:szCs w:val="19"/>
              </w:rPr>
            </w:pPr>
            <w:r w:rsidRPr="00DC78B3">
              <w:rPr>
                <w:rFonts w:ascii="Tahoma" w:hAnsi="Tahoma" w:cs="Tahoma"/>
                <w:b/>
                <w:sz w:val="19"/>
                <w:szCs w:val="19"/>
                <w14:ligatures w14:val="standardContextual"/>
              </w:rPr>
              <w:t>TEMA</w:t>
            </w:r>
          </w:p>
        </w:tc>
        <w:tc>
          <w:tcPr>
            <w:tcW w:w="8363" w:type="dxa"/>
            <w:vAlign w:val="center"/>
          </w:tcPr>
          <w:p w:rsidR="00007564" w:rsidRPr="00DC78B3" w:rsidRDefault="00795D2C"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SAYILAR VE NİCELİKLER (2)</w:t>
            </w:r>
          </w:p>
        </w:tc>
      </w:tr>
      <w:tr w:rsidR="00CD1A4F" w:rsidTr="00B70CA3">
        <w:trPr>
          <w:jc w:val="center"/>
        </w:trPr>
        <w:tc>
          <w:tcPr>
            <w:tcW w:w="2547" w:type="dxa"/>
            <w:vAlign w:val="center"/>
          </w:tcPr>
          <w:p w:rsidR="00007564" w:rsidRPr="00DC78B3" w:rsidRDefault="00795D2C" w:rsidP="0000645E">
            <w:pPr>
              <w:pStyle w:val="AralkYok"/>
              <w:rPr>
                <w:sz w:val="19"/>
                <w:szCs w:val="19"/>
              </w:rPr>
            </w:pPr>
            <w:r w:rsidRPr="00DC78B3">
              <w:rPr>
                <w:rFonts w:ascii="Tahoma" w:hAnsi="Tahoma" w:cs="Tahoma"/>
                <w:b/>
                <w:sz w:val="19"/>
                <w:szCs w:val="19"/>
                <w14:ligatures w14:val="standardContextual"/>
              </w:rPr>
              <w:t>İÇERİK ÇERÇEVESİ</w:t>
            </w:r>
          </w:p>
        </w:tc>
        <w:tc>
          <w:tcPr>
            <w:tcW w:w="8363" w:type="dxa"/>
            <w:vAlign w:val="center"/>
          </w:tcPr>
          <w:p w:rsidR="00007564" w:rsidRPr="00DC78B3" w:rsidRDefault="00795D2C" w:rsidP="0000645E">
            <w:pPr>
              <w:pStyle w:val="AralkYok"/>
              <w:rPr>
                <w:rFonts w:ascii="Tahoma" w:hAnsi="Tahoma" w:cs="Tahoma"/>
                <w:b/>
                <w:sz w:val="19"/>
                <w:szCs w:val="19"/>
                <w14:ligatures w14:val="standardContextual"/>
              </w:rPr>
            </w:pPr>
            <w:r w:rsidRPr="00DC78B3">
              <w:rPr>
                <w:rFonts w:ascii="Barlow-Light" w:hAnsi="Barlow-Light" w:cs="Barlow-Light"/>
                <w:b/>
                <w:sz w:val="19"/>
                <w:szCs w:val="19"/>
                <w14:ligatures w14:val="standardContextual"/>
              </w:rPr>
              <w:t xml:space="preserve">Sayılar </w:t>
            </w:r>
            <w:r w:rsidRPr="00DC78B3">
              <w:rPr>
                <w:rFonts w:ascii="Barlow-Light" w:hAnsi="Barlow-Light" w:cs="Barlow-Light"/>
                <w:b/>
                <w:sz w:val="19"/>
                <w:szCs w:val="19"/>
                <w14:ligatures w14:val="standardContextual"/>
              </w:rPr>
              <w:t>(Kesirler), Nicelikler (Paralar, Zaman, Uzunluk-Kütle Ölçme)</w:t>
            </w:r>
          </w:p>
        </w:tc>
      </w:tr>
      <w:tr w:rsidR="00CD1A4F" w:rsidTr="00B70CA3">
        <w:trPr>
          <w:jc w:val="center"/>
        </w:trPr>
        <w:tc>
          <w:tcPr>
            <w:tcW w:w="2547" w:type="dxa"/>
            <w:vAlign w:val="center"/>
          </w:tcPr>
          <w:p w:rsidR="00007564" w:rsidRPr="00DC78B3" w:rsidRDefault="00795D2C"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ÇIKTILARI</w:t>
            </w:r>
          </w:p>
          <w:p w:rsidR="00007564" w:rsidRPr="00DC78B3" w:rsidRDefault="00795D2C" w:rsidP="0000645E">
            <w:pPr>
              <w:pStyle w:val="AralkYok"/>
              <w:rPr>
                <w:sz w:val="19"/>
                <w:szCs w:val="19"/>
              </w:rPr>
            </w:pPr>
            <w:r w:rsidRPr="00DC78B3">
              <w:rPr>
                <w:rFonts w:ascii="Tahoma" w:hAnsi="Tahoma" w:cs="Tahoma"/>
                <w:b/>
                <w:sz w:val="19"/>
                <w:szCs w:val="19"/>
                <w14:ligatures w14:val="standardContextual"/>
              </w:rPr>
              <w:t>VE SÜREÇ BİLEŞENLERİ</w:t>
            </w:r>
          </w:p>
        </w:tc>
        <w:tc>
          <w:tcPr>
            <w:tcW w:w="8363" w:type="dxa"/>
            <w:vAlign w:val="center"/>
          </w:tcPr>
          <w:p w:rsidR="00007564" w:rsidRPr="00DC78B3" w:rsidRDefault="00795D2C"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MAT.2.1.9. Zaman ölçü birimlerini okuyabilme ve yazabilme (1 saat)</w:t>
            </w:r>
          </w:p>
          <w:p w:rsidR="00007564" w:rsidRPr="00DC78B3" w:rsidRDefault="00795D2C" w:rsidP="00007564">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 xml:space="preserve">MAT.2.1.10. Standart uzunluk ve kütle ölçme araçlarının ve birimlerinin gerekliliğini </w:t>
            </w:r>
            <w:r w:rsidRPr="00DC78B3">
              <w:rPr>
                <w:rFonts w:ascii="Tahoma" w:hAnsi="Tahoma" w:cs="Tahoma"/>
                <w:b/>
                <w:sz w:val="19"/>
                <w:szCs w:val="19"/>
                <w14:ligatures w14:val="standardContextual"/>
              </w:rPr>
              <w:t>yansıtabilme (3 saat)</w:t>
            </w:r>
          </w:p>
          <w:p w:rsidR="00007564" w:rsidRPr="00DC78B3" w:rsidRDefault="00795D2C" w:rsidP="0000756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a) Standart olmayan araçlarla ilgili deneyimlerinden yola çıkarak standart ölçme</w:t>
            </w:r>
            <w:r w:rsidR="00612B35" w:rsidRPr="00DC78B3">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araçlarına olan ihtiyacı gözden geçirir.</w:t>
            </w:r>
          </w:p>
          <w:p w:rsidR="00007564" w:rsidRPr="00DC78B3" w:rsidRDefault="00795D2C" w:rsidP="0000756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b) Deneyimlerine dayalı olarak standart ölçme araçlarının gerekliliğine ilişkin</w:t>
            </w:r>
            <w:r w:rsidR="00612B35" w:rsidRPr="00DC78B3">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çıkarımda bulunur.</w:t>
            </w:r>
          </w:p>
          <w:p w:rsidR="00007564" w:rsidRPr="00DC78B3" w:rsidRDefault="00795D2C" w:rsidP="00612B35">
            <w:pPr>
              <w:pStyle w:val="AralkYok"/>
              <w:rPr>
                <w:rFonts w:ascii="Tahoma" w:hAnsi="Tahoma" w:cs="Tahoma"/>
                <w:b/>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c</w:t>
            </w:r>
            <w:r w:rsidRPr="00DC78B3">
              <w:rPr>
                <w:rFonts w:ascii="Tahoma" w:hAnsi="Tahoma" w:cs="Tahoma"/>
                <w:sz w:val="19"/>
                <w:szCs w:val="19"/>
                <w14:ligatures w14:val="standardContextual"/>
              </w:rPr>
              <w:t>) Standart ölçme araçlarına ilişkin ulaştığı çıkarımlar doğrultusunda standart</w:t>
            </w:r>
            <w:r w:rsidR="00612B35" w:rsidRPr="00DC78B3">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ölçü birimlerinin gerekliliğini değerlendirir.</w:t>
            </w:r>
          </w:p>
        </w:tc>
      </w:tr>
      <w:tr w:rsidR="00CD1A4F" w:rsidTr="00B70CA3">
        <w:trPr>
          <w:jc w:val="center"/>
        </w:trPr>
        <w:tc>
          <w:tcPr>
            <w:tcW w:w="2547" w:type="dxa"/>
            <w:vAlign w:val="center"/>
          </w:tcPr>
          <w:p w:rsidR="00007564" w:rsidRPr="00DC78B3" w:rsidRDefault="00795D2C" w:rsidP="0000645E">
            <w:pPr>
              <w:pStyle w:val="AralkYok"/>
              <w:rPr>
                <w:sz w:val="19"/>
                <w:szCs w:val="19"/>
              </w:rPr>
            </w:pPr>
            <w:r w:rsidRPr="00DC78B3">
              <w:rPr>
                <w:rFonts w:ascii="Tahoma" w:hAnsi="Tahoma" w:cs="Tahoma"/>
                <w:b/>
                <w:sz w:val="19"/>
                <w:szCs w:val="19"/>
                <w14:ligatures w14:val="standardContextual"/>
              </w:rPr>
              <w:t>EĞİTİM ARAÇ-GEREÇLERİ</w:t>
            </w:r>
          </w:p>
        </w:tc>
        <w:tc>
          <w:tcPr>
            <w:tcW w:w="8363" w:type="dxa"/>
            <w:vAlign w:val="center"/>
          </w:tcPr>
          <w:p w:rsidR="00007564" w:rsidRPr="00DC78B3" w:rsidRDefault="00795D2C" w:rsidP="0000645E">
            <w:pPr>
              <w:pStyle w:val="AralkYok"/>
              <w:rPr>
                <w:sz w:val="19"/>
                <w:szCs w:val="19"/>
              </w:rPr>
            </w:pPr>
            <w:r w:rsidRPr="00DC78B3">
              <w:rPr>
                <w:rFonts w:ascii="Tahoma" w:hAnsi="Tahoma" w:cs="Tahoma"/>
                <w:sz w:val="19"/>
                <w:szCs w:val="19"/>
              </w:rPr>
              <w:t>Matematik ders kitabı, web2 uygulamaları, çalışma kağıtları, kesir blokları, kesir ifade eden nesneler, par</w:t>
            </w:r>
            <w:r w:rsidRPr="00DC78B3">
              <w:rPr>
                <w:rFonts w:ascii="Tahoma" w:hAnsi="Tahoma" w:cs="Tahoma"/>
                <w:sz w:val="19"/>
                <w:szCs w:val="19"/>
              </w:rPr>
              <w:t>alar, saat çeşitleri, takvim, mevsim şeridi, eşit kollu terazi, ağırlık ölçüleri, metre, baskül, cetvel</w:t>
            </w:r>
          </w:p>
        </w:tc>
      </w:tr>
      <w:tr w:rsidR="00CD1A4F" w:rsidTr="00B70CA3">
        <w:trPr>
          <w:jc w:val="center"/>
        </w:trPr>
        <w:tc>
          <w:tcPr>
            <w:tcW w:w="2547" w:type="dxa"/>
            <w:vAlign w:val="center"/>
          </w:tcPr>
          <w:p w:rsidR="00007564" w:rsidRPr="00DC78B3" w:rsidRDefault="00795D2C" w:rsidP="0000645E">
            <w:pPr>
              <w:pStyle w:val="AralkYok"/>
              <w:rPr>
                <w:sz w:val="19"/>
                <w:szCs w:val="19"/>
              </w:rPr>
            </w:pPr>
            <w:r w:rsidRPr="00DC78B3">
              <w:rPr>
                <w:rFonts w:ascii="Tahoma" w:hAnsi="Tahoma" w:cs="Tahoma"/>
                <w:b/>
                <w:sz w:val="19"/>
                <w:szCs w:val="19"/>
                <w14:ligatures w14:val="standardContextual"/>
              </w:rPr>
              <w:t>YÖNTEM - TEKNİKLER</w:t>
            </w:r>
          </w:p>
        </w:tc>
        <w:tc>
          <w:tcPr>
            <w:tcW w:w="8363" w:type="dxa"/>
            <w:vAlign w:val="center"/>
          </w:tcPr>
          <w:p w:rsidR="00007564" w:rsidRPr="00DC78B3" w:rsidRDefault="00795D2C" w:rsidP="0000645E">
            <w:pPr>
              <w:pStyle w:val="AralkYok"/>
              <w:rPr>
                <w:sz w:val="19"/>
                <w:szCs w:val="19"/>
              </w:rPr>
            </w:pPr>
            <w:r w:rsidRPr="00DC78B3">
              <w:rPr>
                <w:rFonts w:ascii="Tahoma" w:hAnsi="Tahoma" w:cs="Tahoma"/>
                <w:sz w:val="19"/>
                <w:szCs w:val="19"/>
              </w:rPr>
              <w:t xml:space="preserve">1.Anlatım 2.Tümevarım 3. Tümdengelim 4. Grup tartışması 5. Gezi gözlem 6. Gösteri 7. Soru yanıt 8. Örnek olay  9. Beyin fırtınası </w:t>
            </w:r>
            <w:r w:rsidRPr="00DC78B3">
              <w:rPr>
                <w:rFonts w:ascii="Tahoma" w:hAnsi="Tahoma" w:cs="Tahoma"/>
                <w:sz w:val="19"/>
                <w:szCs w:val="19"/>
              </w:rPr>
              <w:t>10. Canlandırma 11. Grup çalışmaları 12. Oyunlar 13. Rol yapma</w:t>
            </w:r>
          </w:p>
        </w:tc>
      </w:tr>
      <w:tr w:rsidR="00CD1A4F" w:rsidTr="00B70CA3">
        <w:trPr>
          <w:jc w:val="center"/>
        </w:trPr>
        <w:tc>
          <w:tcPr>
            <w:tcW w:w="2547" w:type="dxa"/>
            <w:vAlign w:val="center"/>
          </w:tcPr>
          <w:p w:rsidR="00007564" w:rsidRPr="00DC78B3" w:rsidRDefault="00795D2C" w:rsidP="0000645E">
            <w:pPr>
              <w:pStyle w:val="AralkYok"/>
              <w:rPr>
                <w:sz w:val="19"/>
                <w:szCs w:val="19"/>
              </w:rPr>
            </w:pPr>
            <w:r w:rsidRPr="00DC78B3">
              <w:rPr>
                <w:rFonts w:ascii="Tahoma" w:hAnsi="Tahoma" w:cs="Tahoma"/>
                <w:b/>
                <w:sz w:val="19"/>
                <w:szCs w:val="19"/>
                <w14:ligatures w14:val="standardContextual"/>
              </w:rPr>
              <w:t>Anahtar Kavramlar ve Semboller</w:t>
            </w:r>
          </w:p>
        </w:tc>
        <w:tc>
          <w:tcPr>
            <w:tcW w:w="8363" w:type="dxa"/>
            <w:vAlign w:val="center"/>
          </w:tcPr>
          <w:p w:rsidR="00007564" w:rsidRPr="00DC78B3" w:rsidRDefault="00795D2C" w:rsidP="0000645E">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bütün, yarım, çeyrek, kuruş, saat, dakika, zaman, ölçüm, gün, hafta, ay, mevsim,</w:t>
            </w:r>
          </w:p>
          <w:p w:rsidR="00007564" w:rsidRPr="00DC78B3" w:rsidRDefault="00795D2C" w:rsidP="0000645E">
            <w:pPr>
              <w:pStyle w:val="AralkYok"/>
              <w:rPr>
                <w:sz w:val="19"/>
                <w:szCs w:val="19"/>
              </w:rPr>
            </w:pPr>
            <w:r w:rsidRPr="00DC78B3">
              <w:rPr>
                <w:rFonts w:ascii="Tahoma" w:hAnsi="Tahoma" w:cs="Tahoma"/>
                <w:sz w:val="19"/>
                <w:szCs w:val="19"/>
                <w14:ligatures w14:val="standardContextual"/>
              </w:rPr>
              <w:t xml:space="preserve">yıl, kilogram, gram, metre, santimetre, </w:t>
            </w:r>
            <w:r w:rsidRPr="00DC78B3">
              <w:rPr>
                <w:rFonts w:ascii="Barlow-LightItalic" w:hAnsi="Barlow-LightItalic" w:cs="Barlow-LightItalic"/>
                <w:i/>
                <w:iCs/>
                <w:sz w:val="19"/>
                <w:szCs w:val="19"/>
                <w14:ligatures w14:val="standardContextual"/>
              </w:rPr>
              <w:t>kr., kg, g, m, cm, dk.</w:t>
            </w:r>
          </w:p>
        </w:tc>
      </w:tr>
      <w:tr w:rsidR="00CD1A4F" w:rsidTr="00B70CA3">
        <w:trPr>
          <w:jc w:val="center"/>
        </w:trPr>
        <w:tc>
          <w:tcPr>
            <w:tcW w:w="2547" w:type="dxa"/>
            <w:vAlign w:val="center"/>
          </w:tcPr>
          <w:p w:rsidR="00007564" w:rsidRPr="00DC78B3" w:rsidRDefault="00795D2C"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KANITLAR</w:t>
            </w:r>
            <w:r w:rsidRPr="00DC78B3">
              <w:rPr>
                <w:rFonts w:ascii="Tahoma" w:hAnsi="Tahoma" w:cs="Tahoma"/>
                <w:b/>
                <w:sz w:val="19"/>
                <w:szCs w:val="19"/>
                <w14:ligatures w14:val="standardContextual"/>
              </w:rPr>
              <w:t>I</w:t>
            </w:r>
          </w:p>
          <w:p w:rsidR="00007564" w:rsidRPr="00DC78B3" w:rsidRDefault="00795D2C"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(Ölçme ve Değerlendirme)</w:t>
            </w:r>
          </w:p>
        </w:tc>
        <w:tc>
          <w:tcPr>
            <w:tcW w:w="8363" w:type="dxa"/>
            <w:vAlign w:val="center"/>
          </w:tcPr>
          <w:p w:rsidR="00007564" w:rsidRPr="00DC78B3" w:rsidRDefault="00795D2C" w:rsidP="00612B35">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Bu temanın öğrenme çıktıları; kontrol listesi, eşleştirme soruları, gözlem formu, performans görevi, bütüncül dereceli puanlama anahtarı, açık uçlu sorular, doğru-yanlış soruları kullanılarak değerlendirilebilir.</w:t>
            </w:r>
            <w:r w:rsidRPr="00DC78B3">
              <w:rPr>
                <w:sz w:val="19"/>
                <w:szCs w:val="19"/>
              </w:rPr>
              <w:t xml:space="preserve"> </w:t>
            </w:r>
            <w:r w:rsidRPr="00DC78B3">
              <w:rPr>
                <w:rFonts w:ascii="Tahoma" w:hAnsi="Tahoma" w:cs="Tahoma"/>
                <w:sz w:val="19"/>
                <w:szCs w:val="19"/>
                <w14:ligatures w14:val="standardContextual"/>
              </w:rPr>
              <w:t xml:space="preserve">Öğrencinin </w:t>
            </w:r>
            <w:r w:rsidRPr="00DC78B3">
              <w:rPr>
                <w:rFonts w:ascii="Tahoma" w:hAnsi="Tahoma" w:cs="Tahoma"/>
                <w:sz w:val="19"/>
                <w:szCs w:val="19"/>
                <w14:ligatures w14:val="standardContextual"/>
              </w:rPr>
              <w:t>finansal okuryazarlığını ve sorumluluk becerilerini değerlendirmeye yönelik performans görevi kullanılabilir. Bu görevlerin değerlendirilmesi için bütüncül dereceli puanlama anahtarı kullanılabilir.</w:t>
            </w:r>
            <w:r w:rsidRPr="00DC78B3">
              <w:rPr>
                <w:sz w:val="19"/>
                <w:szCs w:val="19"/>
              </w:rPr>
              <w:t xml:space="preserve"> </w:t>
            </w:r>
            <w:r w:rsidR="00612B35" w:rsidRPr="00DC78B3">
              <w:rPr>
                <w:rFonts w:ascii="Tahoma" w:hAnsi="Tahoma" w:cs="Tahoma"/>
                <w:sz w:val="19"/>
                <w:szCs w:val="19"/>
                <w14:ligatures w14:val="standardContextual"/>
              </w:rPr>
              <w:t>Öğrencilerin günlük yaşamda standart uzunluk ölçme araçlarını kullanabilmek ve bu uzunlukları karşılaştırabilmek için performans görevi kullanılır.</w:t>
            </w:r>
            <w:r w:rsidRPr="00DC78B3">
              <w:rPr>
                <w:rFonts w:ascii="Tahoma" w:hAnsi="Tahoma" w:cs="Tahoma"/>
                <w:sz w:val="19"/>
                <w:szCs w:val="19"/>
                <w14:ligatures w14:val="standardContextual"/>
              </w:rPr>
              <w:t xml:space="preserve"> Bu süreç bütüncül dereceli puanlama anahtarı ile değerlendirilebilir.</w:t>
            </w:r>
          </w:p>
        </w:tc>
      </w:tr>
      <w:tr w:rsidR="00795D2C" w:rsidTr="000D06E7">
        <w:trPr>
          <w:trHeight w:val="5285"/>
          <w:jc w:val="center"/>
        </w:trPr>
        <w:tc>
          <w:tcPr>
            <w:tcW w:w="2547" w:type="dxa"/>
            <w:vAlign w:val="center"/>
          </w:tcPr>
          <w:p w:rsidR="00795D2C" w:rsidRPr="00DC78B3" w:rsidRDefault="00795D2C" w:rsidP="0000645E">
            <w:pPr>
              <w:pStyle w:val="AralkYok"/>
              <w:rPr>
                <w:rFonts w:ascii="Tahoma" w:hAnsi="Tahoma" w:cs="Tahoma"/>
                <w:b/>
                <w:sz w:val="19"/>
                <w:szCs w:val="19"/>
                <w14:ligatures w14:val="standardContextual"/>
              </w:rPr>
            </w:pPr>
            <w:bookmarkStart w:id="0" w:name="_GoBack" w:colFirst="1" w:colLast="1"/>
            <w:r w:rsidRPr="00DC78B3">
              <w:rPr>
                <w:rFonts w:ascii="Tahoma" w:hAnsi="Tahoma" w:cs="Tahoma"/>
                <w:b/>
                <w:sz w:val="19"/>
                <w:szCs w:val="19"/>
                <w14:ligatures w14:val="standardContextual"/>
              </w:rPr>
              <w:t>Öğretme-Öğrenme</w:t>
            </w:r>
          </w:p>
          <w:p w:rsidR="00795D2C" w:rsidRPr="00DC78B3" w:rsidRDefault="00795D2C"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Uygulamalar</w:t>
            </w:r>
          </w:p>
        </w:tc>
        <w:tc>
          <w:tcPr>
            <w:tcW w:w="8363" w:type="dxa"/>
            <w:vAlign w:val="center"/>
          </w:tcPr>
          <w:p w:rsidR="00795D2C" w:rsidRPr="00DC78B3" w:rsidRDefault="00795D2C" w:rsidP="00612B35">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MAT.2.1.9. Zaman ölçü birimlerini okuyabilme ve yazabilme (1 saat)</w:t>
            </w:r>
          </w:p>
          <w:p w:rsidR="00795D2C" w:rsidRPr="00DC78B3" w:rsidRDefault="00795D2C" w:rsidP="00612B35">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DC78B3">
              <w:rPr>
                <w:rFonts w:ascii="Tahoma" w:hAnsi="Tahoma" w:cs="Tahoma"/>
                <w:sz w:val="19"/>
                <w:szCs w:val="19"/>
                <w14:ligatures w14:val="standardContextual"/>
              </w:rPr>
              <w:t xml:space="preserve">Dakika-saat, saat-gün, gün-hafta, gün-hafta-ay, ay-mevsim, mevsim-yıl ilişkileri ile sınırlı kalınarak zaman ölçme birimlerini açıklaması için etkinlikler yapılır. Takvimdeki özel günler ve tatil günlerini vurgulayarak hafta içi ve hafta sonu kavramı öğrencilerde oluşturulur. Böylece takvimde kullanılan renk ve sembollerin ne anlama geldiğini fark etmeleri sağlanır. </w:t>
            </w:r>
          </w:p>
          <w:p w:rsidR="00795D2C" w:rsidRPr="00DC78B3" w:rsidRDefault="00795D2C" w:rsidP="00612B35">
            <w:pPr>
              <w:pStyle w:val="AralkYok"/>
              <w:rPr>
                <w:rFonts w:ascii="Tahoma" w:hAnsi="Tahoma" w:cs="Tahoma"/>
                <w:sz w:val="19"/>
                <w:szCs w:val="19"/>
                <w14:ligatures w14:val="standardContextual"/>
              </w:rPr>
            </w:pPr>
            <w:r w:rsidRPr="00DC78B3">
              <w:rPr>
                <w:rFonts w:ascii="Tahoma" w:hAnsi="Tahoma" w:cs="Tahoma"/>
                <w:b/>
                <w:sz w:val="19"/>
                <w:szCs w:val="19"/>
                <w14:ligatures w14:val="standardContextual"/>
              </w:rPr>
              <w:t>MAT.2.1.10. Standart uzunluk ve kütle ölçme araçlarının ve birimlerinin gerekliliğini yansıtabilme (3 saat)</w:t>
            </w:r>
          </w:p>
          <w:p w:rsidR="00795D2C" w:rsidRPr="00DC78B3" w:rsidRDefault="00795D2C" w:rsidP="00612B35">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DC78B3">
              <w:rPr>
                <w:rFonts w:ascii="Tahoma" w:hAnsi="Tahoma" w:cs="Tahoma"/>
                <w:sz w:val="19"/>
                <w:szCs w:val="19"/>
                <w14:ligatures w14:val="standardContextual"/>
              </w:rPr>
              <w:t xml:space="preserve">Hassas ölçüm gerektiren mesleklerde farklı standart olmayan araçlar ve birimler kullanılırsa ne olabileceğine yönelik sorular yöneltilir. Sınıf içinde aynı nesneleri standart olmayan ölçme araçlarını kullanarak ölçmeleri ve farklı sonuçlara ulaşılması üzerine, standart bir birime olan ihtiyaç üzerine öğrencilerin tartışma yapmaları sağlanır (SDB2.2).  </w:t>
            </w:r>
          </w:p>
          <w:p w:rsidR="00795D2C" w:rsidRPr="00DC78B3" w:rsidRDefault="00795D2C" w:rsidP="00612B35">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DC78B3">
              <w:rPr>
                <w:rFonts w:ascii="Tahoma" w:hAnsi="Tahoma" w:cs="Tahoma"/>
                <w:sz w:val="19"/>
                <w:szCs w:val="19"/>
                <w14:ligatures w14:val="standardContextual"/>
              </w:rPr>
              <w:t>Öğrencilere sınıf içerisinde standart ölçme araçları ile ölçüm yapılmasının gerekli olduğuna dair farklı örnekler vermeleri sağlanır. Verilen örneklerden yola çıkarak standart ölçme araçlarına olan ihtiyaç ve standart ölçme araçlarının neler olabileceği ile ilgili merak uyandırılır (E1.1, OB1, KB2.10).</w:t>
            </w:r>
          </w:p>
          <w:p w:rsidR="00795D2C" w:rsidRPr="00DC78B3" w:rsidRDefault="00795D2C" w:rsidP="0064680F">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DC78B3">
              <w:rPr>
                <w:rFonts w:ascii="Tahoma" w:hAnsi="Tahoma" w:cs="Tahoma"/>
                <w:sz w:val="19"/>
                <w:szCs w:val="19"/>
                <w14:ligatures w14:val="standardContextual"/>
              </w:rPr>
              <w:t>Öğrencilere, standart olmayan farklı ölçü birimleri ile eşit olmayan sonuçlar verecek şekilde</w:t>
            </w:r>
          </w:p>
          <w:p w:rsidR="00795D2C" w:rsidRPr="00DC78B3" w:rsidRDefault="00795D2C" w:rsidP="0064680F">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uzunluk ve kütle ölçümleri yapabilecekleri ortamlar sunulur. Öğrenci, ölçüm sonuçlarının aynı olmadığını fark edinceye kadar sorularla yönlendirme yapılıp standart ölçmeye ihtiyaç olduğu ve standart ölçme araçlarının neler olabileceği ile ilgili merak uyandırılır (E1.1, OB1, KB2.10). Bu araçlar ile ilgili sorular oluşturmaları ve sorular üzerinde tartışmaları sağlanır (E3.8, SDB2.2). Alışverişlerde standart olmayan araçlarla yapılan ölçümlerin sonucunda eşit olmayan ölçümlerin yapılmasının hak kaybına neden olması ve adaletsiz bir duruma yol açması üzerine tartışma yapılır (D1.1).</w:t>
            </w:r>
          </w:p>
        </w:tc>
      </w:tr>
      <w:bookmarkEnd w:id="0"/>
      <w:tr w:rsidR="00795D2C" w:rsidTr="0064680F">
        <w:trPr>
          <w:jc w:val="center"/>
        </w:trPr>
        <w:tc>
          <w:tcPr>
            <w:tcW w:w="2547" w:type="dxa"/>
            <w:vMerge w:val="restart"/>
            <w:vAlign w:val="center"/>
          </w:tcPr>
          <w:p w:rsidR="00795D2C" w:rsidRPr="00DC78B3" w:rsidRDefault="00795D2C" w:rsidP="0064680F">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FARKLILAŞTIRMA</w:t>
            </w:r>
          </w:p>
        </w:tc>
        <w:tc>
          <w:tcPr>
            <w:tcW w:w="8363" w:type="dxa"/>
            <w:vAlign w:val="center"/>
          </w:tcPr>
          <w:p w:rsidR="00795D2C" w:rsidRPr="00DC78B3" w:rsidRDefault="00795D2C" w:rsidP="0064680F">
            <w:pPr>
              <w:pStyle w:val="AralkYok"/>
              <w:rPr>
                <w:rFonts w:ascii="Tahoma" w:hAnsi="Tahoma" w:cs="Tahoma"/>
                <w:sz w:val="19"/>
                <w:szCs w:val="19"/>
                <w14:ligatures w14:val="standardContextual"/>
              </w:rPr>
            </w:pPr>
            <w:r w:rsidRPr="00DC78B3">
              <w:rPr>
                <w:rFonts w:ascii="Tahoma" w:hAnsi="Tahoma" w:cs="Tahoma"/>
                <w:b/>
                <w:sz w:val="19"/>
                <w:szCs w:val="19"/>
                <w14:ligatures w14:val="standardContextual"/>
              </w:rPr>
              <w:t xml:space="preserve">ZENGİNLEŞTİRME </w:t>
            </w:r>
            <w:r w:rsidRPr="00DC78B3">
              <w:rPr>
                <w:rFonts w:ascii="Tahoma" w:hAnsi="Tahoma" w:cs="Tahoma"/>
                <w:sz w:val="19"/>
                <w:szCs w:val="19"/>
                <w14:ligatures w14:val="standardContextual"/>
              </w:rPr>
              <w:t>Öğrencilerin alışık oldukları birim modellerini kullanarak basit ölçme araçları yapmaları, bu</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araçların nasıl ölçtüğünü anlamaları sağlanır. Örneğin öğrencilerin sırasıyla cetvel ve terazi</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gibi ölçüm yapabilecekleri özgün fiziksel modelleri hazırlamaları, üzerindeki birimleri tanımaları,</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her birim arasındaki boşlukları fark etmeleri ve uzunluk birimleri ile ilişkilendirmeleri</w:t>
            </w:r>
          </w:p>
          <w:p w:rsidR="00795D2C" w:rsidRPr="00DC78B3" w:rsidRDefault="00795D2C" w:rsidP="0064680F">
            <w:pPr>
              <w:pStyle w:val="AralkYok"/>
              <w:rPr>
                <w:rFonts w:ascii="Tahoma" w:hAnsi="Tahoma" w:cs="Tahoma"/>
                <w:color w:val="FF0000"/>
                <w:sz w:val="19"/>
                <w:szCs w:val="19"/>
                <w14:ligatures w14:val="standardContextual"/>
              </w:rPr>
            </w:pPr>
            <w:r w:rsidRPr="00DC78B3">
              <w:rPr>
                <w:rFonts w:ascii="Tahoma" w:hAnsi="Tahoma" w:cs="Tahoma"/>
                <w:sz w:val="19"/>
                <w:szCs w:val="19"/>
                <w14:ligatures w14:val="standardContextual"/>
              </w:rPr>
              <w:t>sağlanır.</w:t>
            </w:r>
          </w:p>
        </w:tc>
      </w:tr>
      <w:tr w:rsidR="00795D2C" w:rsidTr="0064680F">
        <w:trPr>
          <w:jc w:val="center"/>
        </w:trPr>
        <w:tc>
          <w:tcPr>
            <w:tcW w:w="2547" w:type="dxa"/>
            <w:vMerge/>
            <w:vAlign w:val="center"/>
          </w:tcPr>
          <w:p w:rsidR="00795D2C" w:rsidRPr="00DC78B3" w:rsidRDefault="00795D2C" w:rsidP="0064680F">
            <w:pPr>
              <w:pStyle w:val="AralkYok"/>
              <w:rPr>
                <w:rFonts w:ascii="Tahoma" w:hAnsi="Tahoma" w:cs="Tahoma"/>
                <w:b/>
                <w:sz w:val="19"/>
                <w:szCs w:val="19"/>
                <w14:ligatures w14:val="standardContextual"/>
              </w:rPr>
            </w:pPr>
          </w:p>
        </w:tc>
        <w:tc>
          <w:tcPr>
            <w:tcW w:w="8363" w:type="dxa"/>
            <w:vAlign w:val="center"/>
          </w:tcPr>
          <w:p w:rsidR="00795D2C" w:rsidRPr="00DC78B3" w:rsidRDefault="00795D2C" w:rsidP="0064680F">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DESTEKLEME</w:t>
            </w:r>
            <w:r w:rsidRPr="00DC78B3">
              <w:rPr>
                <w:rFonts w:ascii="Tahoma" w:hAnsi="Tahoma" w:cs="Tahoma"/>
                <w:sz w:val="19"/>
                <w:szCs w:val="19"/>
                <w14:ligatures w14:val="standardContextual"/>
              </w:rPr>
              <w:t xml:space="preserve">  Grup çalışmaları ile sınıftaki nesnelerin ölçümü yapılarak akran öğrenmesi ile süreçte öğrenme</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eksikleri olan öğrencilerin öğrenmeleri desteklenir.</w:t>
            </w:r>
          </w:p>
        </w:tc>
      </w:tr>
    </w:tbl>
    <w:p w:rsidR="00CD1A4F" w:rsidRDefault="00CD1A4F">
      <w:pPr>
        <w:spacing w:after="0"/>
        <w:rPr>
          <w:sz w:val="0"/>
          <w:szCs w:val="0"/>
        </w:rPr>
      </w:pPr>
    </w:p>
    <w:sectPr w:rsidR="00CD1A4F" w:rsidSect="000D43CA">
      <w:pgSz w:w="11906" w:h="16838"/>
      <w:pgMar w:top="426" w:right="284" w:bottom="567" w:left="284" w:header="284" w:footer="340" w:gutter="0"/>
      <w:pgNumType w:start="3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07DCD2CC">
      <w:start w:val="1"/>
      <w:numFmt w:val="decimal"/>
      <w:lvlText w:val=""/>
      <w:lvlJc w:val="left"/>
    </w:lvl>
    <w:lvl w:ilvl="1" w:tplc="621C3C56">
      <w:numFmt w:val="decimal"/>
      <w:lvlText w:val=""/>
      <w:lvlJc w:val="left"/>
    </w:lvl>
    <w:lvl w:ilvl="2" w:tplc="3FAE6494">
      <w:numFmt w:val="decimal"/>
      <w:lvlText w:val=""/>
      <w:lvlJc w:val="left"/>
    </w:lvl>
    <w:lvl w:ilvl="3" w:tplc="0784BEF8">
      <w:numFmt w:val="decimal"/>
      <w:lvlText w:val=""/>
      <w:lvlJc w:val="left"/>
    </w:lvl>
    <w:lvl w:ilvl="4" w:tplc="B31E0BB0">
      <w:numFmt w:val="decimal"/>
      <w:lvlText w:val=""/>
      <w:lvlJc w:val="left"/>
    </w:lvl>
    <w:lvl w:ilvl="5" w:tplc="BEDEF552">
      <w:numFmt w:val="decimal"/>
      <w:lvlText w:val=""/>
      <w:lvlJc w:val="left"/>
    </w:lvl>
    <w:lvl w:ilvl="6" w:tplc="FE6E8EA0">
      <w:numFmt w:val="decimal"/>
      <w:lvlText w:val=""/>
      <w:lvlJc w:val="left"/>
    </w:lvl>
    <w:lvl w:ilvl="7" w:tplc="F2E035F6">
      <w:numFmt w:val="decimal"/>
      <w:lvlText w:val=""/>
      <w:lvlJc w:val="left"/>
    </w:lvl>
    <w:lvl w:ilvl="8" w:tplc="80245AA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95D2C"/>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1A4F"/>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D2C"/>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7F99E-F3B1-43A9-9E4C-85B73B25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703</Words>
  <Characters>4011</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2025-08-26T16:13:00Z</dcterms:modified>
  <cp:category>www.mustafakabul.com</cp:category>
</cp:coreProperties>
</file>